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Nappali tagozat 2021/2022. ősz.</w:t>
      </w:r>
      <w:r>
        <w:rPr/>
        <w:br/>
      </w:r>
      <w:r>
        <w:rPr>
          <w:b/>
          <w:bCs/>
        </w:rPr>
        <w:t>Filozófia MA, Osztatlan etikatanár, Szabadbölcsészet, (MMK is jelölve)</w:t>
      </w:r>
    </w:p>
    <w:tbl>
      <w:tblPr>
        <w:tblStyle w:val="Rcsostblzat"/>
        <w:tblW w:w="15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8"/>
        <w:gridCol w:w="1214"/>
        <w:gridCol w:w="1229"/>
        <w:gridCol w:w="1200"/>
        <w:gridCol w:w="1213"/>
        <w:gridCol w:w="1239"/>
        <w:gridCol w:w="1243"/>
        <w:gridCol w:w="1242"/>
        <w:gridCol w:w="1358"/>
        <w:gridCol w:w="1808"/>
        <w:gridCol w:w="1585"/>
        <w:gridCol w:w="1400"/>
      </w:tblGrid>
      <w:tr>
        <w:trPr>
          <w:trHeight w:val="300" w:hRule="atLeast"/>
        </w:trPr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Hétfő</w:t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Hétfő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Kedd</w:t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Kedd</w:t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Kedd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Kedd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Kedd</w:t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Szerda</w:t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Szerda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Szerda</w:t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Szerda</w:t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Tere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 308-309</w:t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C/2. XXXIV. ea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201</w:t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</w:t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308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C/2. XXXIV.</w:t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201</w:t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217a</w:t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301. 309</w:t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08.00-10.00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Interkulturális kommunikációszem/gyj.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Osváth A.</w:t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BTOET7N03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Metaetikák és metaetika kritikák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Nyírő M.</w:t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10.00-12.00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sz w:val="16"/>
                <w:szCs w:val="16"/>
                <w:lang w:val="hu-HU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C/1. 309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BTSBN303K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A vizuális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antrop. alapfog.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R. Nagy J.</w:t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BTOET5N02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Morál-filozófiák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Nyírő M.</w:t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9.00 órától!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Gyógy-pedagógia óra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Páros hét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Makai P.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217a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9.00 órától!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Gyógy-pedagógia óra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Páratlan hét Hell 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34. ea</w:t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BTSBN500K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Interkulturális kommunikáció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ea./koll.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Minden hónap 2. hét szerdáján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Faragó L.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BTOET3N02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Általános etika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Makai P.</w:t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309.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BTSBN102A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BTOETSZVN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Vallásantropológia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Török Zsuzsanna</w:t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12.00-14.00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11.30 – 12.30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Nyírő Miklós</w:t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 fogadóóra/konzultációs időpont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16"/>
                <w:szCs w:val="16"/>
                <w:lang w:val="hu-HU" w:eastAsia="en-US" w:bidi="ar-SA"/>
              </w:rPr>
              <w:t>(210-es terem)</w:t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BTOET7N01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Alkalmazott etika IV.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(Szociális etika)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Hell 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11.00 órától!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BTOET1N06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Bevezetés az eszme és műv. történetbe.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Darab Á.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 301. ea</w:t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BTOET1N03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BTKUMK1N02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Bevezetés a kulturális antr.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Kotics J.</w:t>
            </w:r>
          </w:p>
        </w:tc>
      </w:tr>
      <w:tr>
        <w:trPr/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14.00-16.00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BTOET1N01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BTSBN107A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Bevezetés a filozófiába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Nyírő Miklós.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BTOET3N01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Etika-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történet I.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Hell J.</w:t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BTOET5N01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Etikai elméletek tipológiája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Makai P.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BTSBN101A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BTOETSZVN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Tudományos írás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Molnár Ágnes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BTOET5N04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BTMMKN31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Társadalmi nemek kutatása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Hell J.</w:t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8"/>
                <w:szCs w:val="18"/>
                <w:lang w:val="hu-HU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8"/>
                <w:szCs w:val="18"/>
                <w:lang w:val="hu-HU" w:eastAsia="en-US" w:bidi="ar-SA"/>
              </w:rPr>
              <w:t>BTMMKN10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8"/>
                <w:szCs w:val="18"/>
                <w:lang w:val="hu-HU" w:eastAsia="en-US" w:bidi="ar-SA"/>
              </w:rPr>
              <w:t>Média befogadásának vizsgálata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8"/>
                <w:szCs w:val="18"/>
                <w:lang w:val="hu-HU" w:eastAsia="en-US" w:bidi="ar-SA"/>
              </w:rPr>
              <w:t>szem/gyj.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8"/>
                <w:szCs w:val="18"/>
                <w:lang w:val="hu-HU" w:eastAsia="en-US" w:bidi="ar-SA"/>
              </w:rPr>
              <w:t>Faragó L.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8"/>
                <w:szCs w:val="18"/>
                <w:lang w:val="hu-HU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1920" w:hRule="atLeast"/>
        </w:trPr>
        <w:tc>
          <w:tcPr>
            <w:tcW w:w="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16.00-18.00</w:t>
            </w:r>
          </w:p>
        </w:tc>
        <w:tc>
          <w:tcPr>
            <w:tcW w:w="12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BTSBN501F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Fenomenológia és hermeneutika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Nyírő 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(</w:t>
            </w: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210-es terem</w:t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)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Calibri"/>
                <w:color w:val="000000" w:themeColor="text1" w:themeShade="ff" w:themeTint="ff"/>
                <w:sz w:val="16"/>
                <w:szCs w:val="16"/>
                <w:lang w:val="hu-HU"/>
              </w:rPr>
            </w:pPr>
            <w:r>
              <w:rPr>
                <w:rFonts w:eastAsia="Calibri" w:cs="Calibri"/>
                <w:color w:val="000000" w:themeColor="text1" w:themeShade="ff" w:themeTint="ff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eastAsia="Times New Roman" w:cs="Courier New"/>
                <w:b/>
                <w:b/>
                <w:sz w:val="16"/>
                <w:szCs w:val="16"/>
                <w:lang w:eastAsia="hu-HU"/>
              </w:rPr>
            </w:pPr>
            <w:r>
              <w:rPr>
                <w:rFonts w:eastAsia="Times New Roman" w:cs="Courier New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35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sz w:val="16"/>
                <w:szCs w:val="16"/>
                <w:lang w:val="hu-HU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BTKVANV126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BTOETSZVN1-19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BTSBN002K-01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Média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antropológia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speciális 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Faragó L.</w:t>
            </w:r>
          </w:p>
        </w:tc>
        <w:tc>
          <w:tcPr>
            <w:tcW w:w="15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0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Rcsostblzat"/>
        <w:tblW w:w="15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1635"/>
        <w:gridCol w:w="1683"/>
        <w:gridCol w:w="1599"/>
        <w:gridCol w:w="1607"/>
        <w:gridCol w:w="1722"/>
        <w:gridCol w:w="1684"/>
        <w:gridCol w:w="1567"/>
        <w:gridCol w:w="1468"/>
        <w:gridCol w:w="1779"/>
      </w:tblGrid>
      <w:tr>
        <w:trPr>
          <w:trHeight w:val="300" w:hRule="atLeast"/>
        </w:trPr>
        <w:tc>
          <w:tcPr>
            <w:tcW w:w="644" w:type="dxa"/>
            <w:tcBorders/>
          </w:tcPr>
          <w:p>
            <w:pPr>
              <w:pStyle w:val="Normal"/>
              <w:pageBreakBefore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Csütörtök</w:t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Csütörtök</w:t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Csütörtök</w:t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Csütörtök</w:t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Csütörtök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Péntek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Péntek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hu-HU" w:eastAsia="en-US" w:bidi="ar-SA"/>
              </w:rPr>
              <w:t>Péntek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Péntek</w:t>
            </w:r>
          </w:p>
        </w:tc>
      </w:tr>
      <w:tr>
        <w:trPr>
          <w:trHeight w:val="300" w:hRule="atLeast"/>
        </w:trPr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Tere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201</w:t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202.</w:t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</w:t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217a</w:t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C/1. 309.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217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201.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B/2. XXVIII.ea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BBZI 110 terem*</w:t>
            </w:r>
          </w:p>
        </w:tc>
      </w:tr>
      <w:tr>
        <w:trPr/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08.00-10.00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BTOET7N02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Alkalmazott etika V.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Pedagógiai etika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Makai 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>
                <w:sz w:val="16"/>
                <w:szCs w:val="16"/>
                <w:lang w:val="hu-HU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BTMMKN15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BTOETSZVN1-04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BTSBN105A-01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Filmtörténet 2.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(fikciós filmek elemzése) 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Bognár L.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10.00-12.00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Makai Péter fogadóóra/konzultációs időpont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9.30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BTMMKN17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BTKVANV123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BTOETSZVN4-01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Fikciós filmek elemzése 4.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Filmtörténet 4.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Bognár L.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BTOET5N03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Alkalmazott etika II.(politikai)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t>.</w:t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Lurcza Zsuzsanna/Makai 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BTOET1N02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Bevezetés a szociológiába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Szabó-Tóth K.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12.00-14.00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Könyvtári kölcsönzési lehetőség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Makai Péter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11.00-12.30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BTMMKN22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BTKVANV122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Mozgókép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elemzés 2.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Bognár L.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Calibri"/>
                <w:color w:val="000000" w:themeColor="text1" w:themeShade="ff" w:themeTint="ff"/>
                <w:sz w:val="16"/>
                <w:szCs w:val="16"/>
                <w:lang w:val="hu-HU"/>
              </w:rPr>
            </w:pPr>
            <w:r>
              <w:rPr>
                <w:rFonts w:eastAsia="Calibri" w:cs="Calibri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BTSBN103A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Bevezetés. az etikába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Calibri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Lurzca Zsuzsanna/Hell J.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1550" w:hRule="atLeast"/>
        </w:trPr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14.00-16.00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8"/>
                <w:szCs w:val="18"/>
                <w:lang w:val="hu-HU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BTSBN10A-01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BTOET1N05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Bevezetés a kommunikáció elméletbe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Faragó L.</w:t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16"/>
                <w:szCs w:val="16"/>
                <w:lang w:val="hu-HU" w:eastAsia="en-US" w:bidi="ar-SA"/>
              </w:rPr>
              <w:t>BTOPED7N03-3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Szakmódszertan II.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Makai P.</w:t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0" w:before="0" w:afterAutospacing="0" w:after="20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BTOET3N03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Gyakorlati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filozófia I.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Lurcza Zsuzsanna/Hell J.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13.30 órai kezdettel!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hu-HU" w:eastAsia="en-US" w:bidi="ar-SA"/>
              </w:rPr>
              <w:t>Tömbösítve!*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BTSBN106A, BTOETSZVN1-04, BTFIDN1GK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Filmnarratíva, filmdramaturgia, Esztétika ea/koll, szem/gyj. Bognár László</w:t>
            </w:r>
          </w:p>
        </w:tc>
      </w:tr>
      <w:tr>
        <w:trPr/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16.00-18.00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  <w:lang w:val="hu-HU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BTET3N04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BTMMKN38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Alkalmazott etika I. (Ökológiai etika)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Hell J.</w:t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16"/>
                <w:szCs w:val="16"/>
                <w:lang w:val="hu-HU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BTOETSZV04-02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BTMMKN38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 xml:space="preserve">Riportkészítés 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spec. Koll.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Szem/gyj.</w:t>
            </w:r>
            <w:r>
              <w:rPr>
                <w:kern w:val="0"/>
                <w:sz w:val="16"/>
                <w:szCs w:val="16"/>
                <w:lang w:val="hu-HU" w:eastAsia="en-US" w:bidi="ar-SA"/>
              </w:rPr>
              <w:br/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hu-HU" w:eastAsia="en-US" w:bidi="ar-SA"/>
              </w:rPr>
              <w:t>Faragó L.</w:t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BTSBN100A-01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BTFIDN1FK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 xml:space="preserve">Ókori 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filozófiatrörténet I.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Bognár L.</w:t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18.00-20.00</w:t>
            </w:r>
          </w:p>
        </w:tc>
        <w:tc>
          <w:tcPr>
            <w:tcW w:w="16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17.30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BTOET1N07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BTMMKN32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Filozófiatörténet 1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ea/koll.</w:t>
            </w: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br/>
            </w:r>
            <w:r>
              <w:rPr>
                <w:rFonts w:eastAsia="Calibri" w:cs=""/>
                <w:kern w:val="0"/>
                <w:sz w:val="16"/>
                <w:szCs w:val="16"/>
                <w:lang w:val="hu-HU" w:eastAsia="en-US" w:bidi="ar-SA"/>
              </w:rPr>
              <w:t>Bognár L.</w:t>
            </w:r>
          </w:p>
        </w:tc>
        <w:tc>
          <w:tcPr>
            <w:tcW w:w="160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bCs/>
        </w:rPr>
        <w:t>BTOET7N04 Szakdolgozati szeminárium, szem/gyj.</w:t>
      </w:r>
      <w:r>
        <w:rPr/>
        <w:t xml:space="preserve"> – a választott oktatóval egyénileg egyeztett időpontban</w:t>
        <w:br/>
        <w:t xml:space="preserve">* </w:t>
      </w:r>
      <w:r>
        <w:rPr>
          <w:b/>
          <w:bCs/>
          <w:sz w:val="22"/>
          <w:szCs w:val="22"/>
        </w:rPr>
        <w:t xml:space="preserve">BTSBN106A, BTOETSZVN1-04, BTFIDN1GK </w:t>
      </w:r>
      <w:r>
        <w:rPr/>
        <w:t xml:space="preserve">péntekenként 13.30-19.00., négy tömbben: szeptember 17., október 1., október 15., október. 29. </w:t>
        <w:br/>
        <w:t>Helyszín: BBZK 110 terem (Bartók Béla Zeneművészeti kar, Zenepalota, Miskolc, Bartók Béla tér 1.)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kntformzottChar" w:customStyle="1">
    <w:name w:val="HTML-ként formázott Char"/>
    <w:basedOn w:val="DefaultParagraphFont"/>
    <w:link w:val="HTML-kntformzott"/>
    <w:uiPriority w:val="99"/>
    <w:semiHidden/>
    <w:qFormat/>
    <w:rsid w:val="00887c14"/>
    <w:rPr>
      <w:rFonts w:ascii="Courier New" w:hAnsi="Courier New" w:eastAsia="Times New Roman" w:cs="Courier New"/>
      <w:sz w:val="20"/>
      <w:szCs w:val="20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74b2f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kntformzottChar"/>
    <w:uiPriority w:val="99"/>
    <w:semiHidden/>
    <w:unhideWhenUsed/>
    <w:qFormat/>
    <w:rsid w:val="00887c1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u-HU"/>
    </w:rPr>
  </w:style>
  <w:style w:type="paragraph" w:styleId="NoSpacing">
    <w:name w:val="No Spacing"/>
    <w:uiPriority w:val="1"/>
    <w:qFormat/>
    <w:rsid w:val="00bf51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74b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461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99E-3BCF-4AFC-A48C-EDC0B8C6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LibreOffice/7.1.3.2$Windows_X86_64 LibreOffice_project/47f78053abe362b9384784d31a6e56f8511eb1c1</Application>
  <AppVersion>15.0000</AppVersion>
  <Pages>3</Pages>
  <Words>450</Words>
  <Characters>3115</Characters>
  <CharactersWithSpaces>3483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2021-08-12T13:18:00Z</dcterms:created>
  <dc:creator>kvai</dc:creator>
  <dc:description/>
  <dc:language>hu-HU</dc:language>
  <cp:lastModifiedBy/>
  <cp:lastPrinted>2020-09-15T10:02:00Z</cp:lastPrinted>
  <dcterms:modified xsi:type="dcterms:W3CDTF">2021-11-01T19:47:36Z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