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b/>
          <w:b/>
          <w:sz w:val="24"/>
        </w:rPr>
      </w:pPr>
      <w:r>
        <w:rPr>
          <w:b/>
          <w:sz w:val="24"/>
        </w:rPr>
        <w:t>TANTÁRGYI TEMATIKA</w:t>
      </w:r>
    </w:p>
    <w:p>
      <w:pPr>
        <w:pStyle w:val="Normal"/>
        <w:spacing w:before="120" w:after="120"/>
        <w:jc w:val="center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670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35"/>
        <w:gridCol w:w="4378"/>
        <w:gridCol w:w="456"/>
      </w:tblGrid>
      <w:tr>
        <w:trPr/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neve: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sz w:val="24"/>
                <w:szCs w:val="24"/>
                <w:lang w:eastAsia="hu-HU"/>
              </w:rPr>
              <w:t>Morálfilozófiák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</w:rPr>
              <w:t>Tantárgy Neptun kódja: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>BTOET5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>L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>02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Tárgyfelelős intézet:</w:t>
            </w:r>
            <w:r>
              <w:rPr>
                <w:sz w:val="24"/>
                <w:szCs w:val="24"/>
              </w:rPr>
              <w:t xml:space="preserve"> Antropológiai és Filozófiai Tudományok Intézete (Filozófiai tanszék)</w:t>
            </w:r>
          </w:p>
        </w:tc>
      </w:tr>
      <w:tr>
        <w:trPr/>
        <w:tc>
          <w:tcPr>
            <w:tcW w:w="4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Tantárgyelem:</w:t>
            </w:r>
            <w:r>
              <w:rPr>
                <w:sz w:val="24"/>
                <w:szCs w:val="24"/>
              </w:rPr>
              <w:t xml:space="preserve"> kötelező</w:t>
            </w:r>
          </w:p>
        </w:tc>
      </w:tr>
      <w:tr>
        <w:trPr/>
        <w:tc>
          <w:tcPr>
            <w:tcW w:w="9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Tárgyfelelős:</w:t>
            </w:r>
            <w:r>
              <w:rPr>
                <w:sz w:val="24"/>
                <w:szCs w:val="24"/>
              </w:rPr>
              <w:t xml:space="preserve"> Dr. Nyírő Miklós, egy. docens</w:t>
            </w:r>
          </w:p>
        </w:tc>
      </w:tr>
      <w:tr>
        <w:trPr/>
        <w:tc>
          <w:tcPr>
            <w:tcW w:w="9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Közreműködő oktató(k):</w:t>
            </w:r>
            <w:r>
              <w:rPr>
                <w:sz w:val="24"/>
                <w:szCs w:val="24"/>
              </w:rPr>
              <w:t xml:space="preserve"> ―</w:t>
            </w:r>
          </w:p>
        </w:tc>
      </w:tr>
      <w:tr>
        <w:trPr/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Javasolt félév: </w:t>
            </w:r>
            <w:r>
              <w:rPr>
                <w:bCs/>
                <w:color w:val="000000"/>
                <w:sz w:val="24"/>
                <w:szCs w:val="24"/>
              </w:rPr>
              <w:t>3Ő</w:t>
            </w:r>
          </w:p>
        </w:tc>
        <w:tc>
          <w:tcPr>
            <w:tcW w:w="4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Előfeltétel: ―</w:t>
            </w:r>
          </w:p>
        </w:tc>
      </w:tr>
      <w:tr>
        <w:trPr/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Óraszám/hét:</w:t>
            </w:r>
            <w:r>
              <w:rPr>
                <w:sz w:val="24"/>
                <w:szCs w:val="24"/>
              </w:rPr>
              <w:t xml:space="preserve"> 2-0</w:t>
            </w:r>
          </w:p>
        </w:tc>
        <w:tc>
          <w:tcPr>
            <w:tcW w:w="4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Számonkérés módja: </w:t>
            </w:r>
            <w:r>
              <w:rPr>
                <w:sz w:val="24"/>
                <w:szCs w:val="24"/>
              </w:rPr>
              <w:t>a/k</w:t>
            </w:r>
          </w:p>
        </w:tc>
      </w:tr>
      <w:tr>
        <w:trPr/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Kreditpont: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4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Munkarend: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levelező</w:t>
            </w:r>
          </w:p>
        </w:tc>
      </w:tr>
      <w:tr>
        <w:trPr/>
        <w:tc>
          <w:tcPr>
            <w:tcW w:w="9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feladata és célja: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kurzus keretében a modernkori morálfilozófiáknak elsősorban a német filozófia vonzáskörébe tartozó néhány kulcsfontosságú szerzőjét, így Kant, Kierkegaard, Nietzsche, Heidegger és Gadamer vonatkozó nézeteit tárgyaljuk.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Fejlesztendő kompetenciák: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tudás:</w:t>
            </w:r>
            <w:r>
              <w:rPr>
                <w:sz w:val="24"/>
                <w:szCs w:val="24"/>
              </w:rPr>
              <w:t xml:space="preserve"> Tájékozott az alapvető eszmetörténeti, ezen belül etikatörténeti összefüggések terén. Ismeri és felismeri az eltérő etikai tradíciókat, képes a morálfilozófiák áttekintésére, a filozófiatörténet legjelentősebb irányzatainak etika központú megközelítésére. Átfogó ismeretekkel rendelkezik az általános etikai-morális alapfogalmak, irányzatok, erkölcsi problémák, valamint metaetikai kérdések terén, ahogyan a mai modern társadalom morális kérdései terén is.</w:t>
            </w:r>
          </w:p>
          <w:p>
            <w:pPr>
              <w:pStyle w:val="Cf0agj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color w:val="auto"/>
                <w:sz w:val="24"/>
                <w:szCs w:val="24"/>
              </w:rPr>
              <w:t>képesség: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A kurzus hozzájárul az erkölcsiség legfontosabb sajátosságainak kialakításához, fogalmilag megragadhatóvá tételükhöz, a morális szókészlet helyes használatához. Elősegíti a jó és rossz közötti különbségtételt, képessé tesz annak bemutatására konkrét történelmi és társadalmi példákon keresztül. Képessé tesz a helyes magatartás, valamint a jó döntés elveiről kialakított álláspontok kritikus, elemző megítélésére, a morális problémák felismerésére, értelmezésére, a lényeges és a lényegtelen mozzanatok megkülönböztetésére, a lehetséges válaszok megfogalmazására, a cselekedet és a következmény összefüggéseinek megfelelő figyelembevételével. Mindezzel elősegíti a morális helytállás értelmének sokoldalú megvilágítását, az önreflexiót, az önvizsgálatot és az önismeretet, lelkiismeretességre törekvés igényének kialakítását. Fejleszti a problémaérzékenységet, az igazságérzetet és a becsületesség képességének formálását.</w:t>
            </w:r>
          </w:p>
          <w:p>
            <w:pPr>
              <w:pStyle w:val="Cf0agj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color w:val="auto"/>
                <w:sz w:val="24"/>
                <w:szCs w:val="24"/>
              </w:rPr>
              <w:t>attitűd: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A kurzus erősíti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az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erkölcsi érzék fejlesztését, az egzisztenciális választás, döntés jelentőségének felismerését, a cselekedetekért és azok következményeiért vállalt felelősségtudat elmélyítését. Az emberi személy méltóságának tiszteletben tartására késztet, s hozzájárul az igazságérzet, az igazságosság, a méltányosság, a szeretet, a szolidaritás, a közjó erkölcsi elveinek megfelelő gondolkodásmód kialakításához, elősegíti a társadalmi beilleszkedést. A tolerancia, együttérzés, nyitottság, kritika/önkritika képessége, önfegyelem, kötelességtudat, mértéktartás, együttérzés, segítőkészség, tisztelet attitűdjének kiépítésére ösztökél. Képessé tesz a mindennapos élethelyzetek, döntési szituációk elemzésére, etikai kérdésekkel foglalkozó irodalmi, filozófiai és egyéb szövegek feldolgozására és alkalmazására a felvetődő morális kérdések alapján.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autonómia és felelősség:</w:t>
            </w:r>
            <w:r>
              <w:rPr>
                <w:sz w:val="24"/>
                <w:szCs w:val="24"/>
              </w:rPr>
              <w:t xml:space="preserve"> Véleményét körültekintően alakítja ki, tájékozódik és felelősséget vállal saját álláspontjáért. Véleményét argumentumokra alapozza. Elutasítja mások érzelmi vagy ideológiai alapú manipulálását. Felelősséget vállal akár szóban, akár írásban megfogalmazott véleményéért tudományos téren.</w:t>
            </w:r>
          </w:p>
        </w:tc>
      </w:tr>
      <w:tr>
        <w:trPr/>
        <w:tc>
          <w:tcPr>
            <w:tcW w:w="9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tematikus leírása:</w:t>
            </w:r>
          </w:p>
        </w:tc>
      </w:tr>
      <w:tr>
        <w:trPr/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1. Bevezetés: a moralitás kérdésének történeti és szisztematikus expozíciója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2. Kant gyakorlati filozófiája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3. Kierkegaard stádiumelmélete, az etikai stádium jellemzői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Nietzsche: a moralitás genealógiája </w:t>
            </w:r>
            <w:r>
              <w:rPr>
                <w:sz w:val="24"/>
                <w:szCs w:val="24"/>
              </w:rPr>
              <w:t>és az amoralitás eszméje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Heidegger: egzisztencia és autenticitás, lelkiismeret és tulajdonképpeni egzisztálás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G</w:t>
            </w:r>
            <w:r>
              <w:rPr>
                <w:sz w:val="24"/>
                <w:szCs w:val="24"/>
              </w:rPr>
              <w:t xml:space="preserve">adamer: </w:t>
            </w:r>
            <w:r>
              <w:rPr>
                <w:i/>
                <w:sz w:val="24"/>
                <w:szCs w:val="24"/>
              </w:rPr>
              <w:t>phronészisz</w:t>
            </w:r>
            <w:r>
              <w:rPr>
                <w:sz w:val="24"/>
                <w:szCs w:val="24"/>
              </w:rPr>
              <w:t xml:space="preserve"> contra lelkiismeret, </w:t>
            </w:r>
            <w:r>
              <w:rPr>
                <w:i/>
                <w:sz w:val="24"/>
                <w:szCs w:val="24"/>
              </w:rPr>
              <w:t>techné</w:t>
            </w:r>
            <w:r>
              <w:rPr>
                <w:sz w:val="24"/>
                <w:szCs w:val="24"/>
              </w:rPr>
              <w:t xml:space="preserve"> és </w:t>
            </w:r>
            <w:r>
              <w:rPr>
                <w:i/>
                <w:sz w:val="24"/>
                <w:szCs w:val="24"/>
              </w:rPr>
              <w:t>phroneszisz</w:t>
            </w:r>
            <w:r>
              <w:rPr>
                <w:sz w:val="24"/>
                <w:szCs w:val="24"/>
              </w:rPr>
              <w:t xml:space="preserve"> elhatárolása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Félévközi számonkérés módja és értékelése: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az aláírásért a megadott irodalmak közül választott egyik írásból házidolgozatot kell készíteni (min. 5 oldal, </w:t>
            </w:r>
            <w:hyperlink r:id="rId2" w:tgtFrame="_blank">
              <w:r>
                <w:rPr>
                  <w:rStyle w:val="Internethivatkozs"/>
                  <w:color w:val="FF0000"/>
                  <w:sz w:val="24"/>
                  <w:szCs w:val="24"/>
                  <w:u w:val="none"/>
                </w:rPr>
                <w:t>12.es</w:t>
              </w:r>
            </w:hyperlink>
            <w:r>
              <w:rPr>
                <w:color w:val="FF0000"/>
                <w:sz w:val="24"/>
                <w:szCs w:val="24"/>
              </w:rPr>
              <w:t> betűméret, Times New Roman, 1,5-es sorköz az egész</w:t>
            </w:r>
            <w:r>
              <w:rPr>
                <w:color w:val="FF0000"/>
                <w:sz w:val="24"/>
                <w:szCs w:val="24"/>
                <w:u w:val="single"/>
              </w:rPr>
              <w:t> </w:t>
            </w:r>
            <w:r>
              <w:rPr>
                <w:color w:val="FF0000"/>
                <w:sz w:val="24"/>
                <w:szCs w:val="24"/>
              </w:rPr>
              <w:t>dokumentumban - ha a formai követelmények nem teljesülnek, visszaküldöm.) A hosszabb írások esetében választható résztéma is.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Kollokvium teljesítésének módja, értékelése:</w:t>
            </w:r>
          </w:p>
          <w:p>
            <w:pPr>
              <w:pStyle w:val="Normal"/>
              <w:widowControl w:val="false"/>
              <w:spacing w:lineRule="auto" w:line="240" w:before="0" w:after="0"/>
              <w:ind w:left="540" w:hanging="54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 kollokviumi jegy a házidolgozat (50%-os súllyal számítva) és a félévvégi vizsga (50%-os súllyal számítva) érdemjegyeiből tevődik össze.</w:t>
            </w:r>
            <w:r>
              <w:rPr>
                <w:sz w:val="24"/>
                <w:szCs w:val="24"/>
              </w:rPr>
              <w:t xml:space="preserve"> Ha akár a félévközi teljesítmény, akár a félévvégi vizsga elégtelen, akkor a kollokviumi jegy is elégtelen.</w:t>
            </w:r>
          </w:p>
        </w:tc>
      </w:tr>
      <w:tr>
        <w:trPr/>
        <w:tc>
          <w:tcPr>
            <w:tcW w:w="9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Kötelező irodalom: </w:t>
            </w:r>
            <w:r>
              <w:rPr>
                <w:color w:val="FF0000"/>
                <w:sz w:val="24"/>
                <w:szCs w:val="24"/>
              </w:rPr>
              <w:t>a pirossal szedett irodalmak elérhetők az alábbi oldalon: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3">
              <w:r>
                <w:rPr>
                  <w:rStyle w:val="Internethivatkozs"/>
                  <w:sz w:val="24"/>
                  <w:szCs w:val="24"/>
                </w:rPr>
                <w:t>http://filozofia.uni-miskolc.hu/hallgatok/oktatasi-anyagok/dr-nyiro-miklos-anyagai/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Gadamer, Hans-Georg: „Arisztotelész hermeneutikai aktualitása”, „A tapasztalat fogalma és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</w:t>
            </w:r>
            <w:r>
              <w:rPr>
                <w:color w:val="FF0000"/>
                <w:sz w:val="24"/>
                <w:szCs w:val="24"/>
              </w:rPr>
              <w:t xml:space="preserve">a hermeneutikai tapasztalat lényege”. In. uő.: </w:t>
            </w:r>
            <w:r>
              <w:rPr>
                <w:i/>
                <w:color w:val="FF0000"/>
                <w:sz w:val="24"/>
                <w:szCs w:val="24"/>
              </w:rPr>
              <w:t xml:space="preserve">Igazság és módszer. </w:t>
            </w:r>
            <w:r>
              <w:rPr>
                <w:color w:val="FF0000"/>
                <w:sz w:val="24"/>
                <w:szCs w:val="24"/>
              </w:rPr>
              <w:t>2. kiad. Osiris,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ab/>
              <w:t>Budapest 2003, 351-61 és 385-402.</w:t>
            </w:r>
            <w:r>
              <w:rPr>
                <w:color w:val="FF0000"/>
                <w:sz w:val="24"/>
                <w:szCs w:val="24"/>
              </w:rPr>
              <w:t xml:space="preserve"> = uő.: </w:t>
            </w:r>
            <w:r>
              <w:rPr>
                <w:i/>
                <w:color w:val="FF0000"/>
                <w:sz w:val="24"/>
                <w:szCs w:val="24"/>
              </w:rPr>
              <w:t>Wahrheit und Methode</w:t>
            </w:r>
            <w:r>
              <w:rPr>
                <w:i/>
                <w:iCs/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  <w:sz w:val="24"/>
                <w:szCs w:val="24"/>
              </w:rPr>
              <w:t>Grundzüge einer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43"/>
              <w:rPr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  <w:sz w:val="24"/>
                <w:szCs w:val="24"/>
              </w:rPr>
              <w:t xml:space="preserve">philosophischen Hermeneutik. </w:t>
            </w:r>
            <w:r>
              <w:rPr>
                <w:color w:val="FF0000"/>
                <w:sz w:val="24"/>
                <w:szCs w:val="24"/>
              </w:rPr>
              <w:t>Tübingen: J.C.B. Mohr (Paul Siebeck), 196</w:t>
            </w:r>
            <w:r>
              <w:rPr>
                <w:rFonts w:eastAsia="Symbol" w:cs="Symbol" w:ascii="Symbol" w:hAnsi="Symbol"/>
                <w:color w:val="FF0000"/>
                <w:sz w:val="24"/>
                <w:szCs w:val="24"/>
              </w:rPr>
              <w:t></w:t>
            </w:r>
            <w:r>
              <w:rPr>
                <w:color w:val="FF0000"/>
                <w:sz w:val="24"/>
                <w:szCs w:val="24"/>
              </w:rPr>
              <w:t>; 3. kiad.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4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1972.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Heidegger, Martin: „A tulajdonképpeni lenni-tudás ittlét-szerű tanúsítása és az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8"/>
              <w:rPr>
                <w:i/>
                <w:i/>
                <w:iCs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elhatározottság”. In. uő.: </w:t>
            </w:r>
            <w:r>
              <w:rPr>
                <w:i/>
                <w:color w:val="FF0000"/>
                <w:sz w:val="24"/>
                <w:szCs w:val="24"/>
              </w:rPr>
              <w:t xml:space="preserve">Lét és idő. </w:t>
            </w:r>
            <w:r>
              <w:rPr>
                <w:color w:val="FF0000"/>
                <w:sz w:val="24"/>
                <w:szCs w:val="24"/>
              </w:rPr>
              <w:t xml:space="preserve">2. kiad. Osiris, Budapest 2001, 310-349. </w:t>
            </w:r>
            <w:r>
              <w:rPr>
                <w:iCs/>
                <w:color w:val="FF0000"/>
                <w:sz w:val="24"/>
                <w:szCs w:val="24"/>
              </w:rPr>
              <w:t>=</w:t>
            </w:r>
            <w:r>
              <w:rPr>
                <w:color w:val="FF0000"/>
                <w:sz w:val="24"/>
                <w:szCs w:val="24"/>
              </w:rPr>
              <w:t xml:space="preserve"> uő.: </w:t>
            </w:r>
            <w:r>
              <w:rPr>
                <w:i/>
                <w:iCs/>
                <w:color w:val="FF0000"/>
                <w:sz w:val="24"/>
                <w:szCs w:val="24"/>
              </w:rPr>
              <w:t>Sein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8"/>
              <w:rPr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und Zeit.</w:t>
            </w:r>
            <w:r>
              <w:rPr>
                <w:color w:val="FF0000"/>
                <w:sz w:val="24"/>
                <w:szCs w:val="24"/>
              </w:rPr>
              <w:t xml:space="preserve"> Tübingen: Niemeyer, 15. kiad. 1979.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Kant, Immanuel: „Áttérés a közönséges erkölcsi észmegismerésről…”. In. uő.: </w:t>
            </w:r>
            <w:r>
              <w:rPr>
                <w:i/>
                <w:sz w:val="24"/>
                <w:szCs w:val="24"/>
              </w:rPr>
              <w:t>Az erkölcsök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metafizikájának alapvetése … </w:t>
            </w:r>
            <w:r>
              <w:rPr>
                <w:sz w:val="24"/>
                <w:szCs w:val="24"/>
              </w:rPr>
              <w:t>Gondolat, Budapest 1991.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Kierkegaard, Sören: „Az esztétikai és az etikai közötti egyensúly a személyiség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</w:t>
            </w:r>
            <w:r>
              <w:rPr>
                <w:color w:val="FF0000"/>
                <w:sz w:val="24"/>
                <w:szCs w:val="24"/>
              </w:rPr>
              <w:t xml:space="preserve">kimunkálásában”. In.   uő.: </w:t>
            </w:r>
            <w:r>
              <w:rPr>
                <w:i/>
                <w:color w:val="FF0000"/>
                <w:sz w:val="24"/>
                <w:szCs w:val="24"/>
              </w:rPr>
              <w:t>Vagy-vagy.</w:t>
            </w:r>
            <w:r>
              <w:rPr>
                <w:color w:val="FF0000"/>
                <w:sz w:val="24"/>
                <w:szCs w:val="24"/>
              </w:rPr>
              <w:t xml:space="preserve"> Osiris-Századvég, Budapest, 2001, 467-6</w:t>
            </w:r>
            <w:r>
              <w:rPr>
                <w:rFonts w:eastAsia="Symbol" w:cs="Symbol" w:ascii="Symbol" w:hAnsi="Symbol"/>
                <w:color w:val="FF0000"/>
                <w:sz w:val="24"/>
                <w:szCs w:val="24"/>
              </w:rPr>
              <w:t></w:t>
            </w:r>
            <w:r>
              <w:rPr>
                <w:color w:val="FF0000"/>
                <w:sz w:val="24"/>
                <w:szCs w:val="24"/>
              </w:rPr>
              <w:t>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Nietzsche, Friedrich: „’Jó és gonosz’, ’jó és hitvány’”, </w:t>
            </w:r>
            <w:r>
              <w:rPr>
                <w:color w:val="FF0000"/>
                <w:sz w:val="24"/>
                <w:szCs w:val="24"/>
              </w:rPr>
              <w:t>„’Bűn’, ’rossz lelkiismeret’ és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</w:t>
            </w:r>
            <w:r>
              <w:rPr>
                <w:color w:val="FF0000"/>
                <w:sz w:val="24"/>
                <w:szCs w:val="24"/>
              </w:rPr>
              <w:t>társaik”,</w:t>
            </w:r>
            <w:r>
              <w:rPr>
                <w:sz w:val="24"/>
                <w:szCs w:val="24"/>
              </w:rPr>
              <w:t xml:space="preserve"> „Mit jelentenek az aszketikus ideálok?”. Mindhárom in. uő.: </w:t>
            </w:r>
            <w:r>
              <w:rPr>
                <w:i/>
                <w:sz w:val="24"/>
                <w:szCs w:val="24"/>
              </w:rPr>
              <w:t>Adalék a morál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  <w:t xml:space="preserve">genealógiájához. </w:t>
            </w:r>
            <w:r>
              <w:rPr>
                <w:sz w:val="24"/>
                <w:szCs w:val="24"/>
              </w:rPr>
              <w:t>Holnap Kiadó, Bp. 1996, 18-58, 59-112, és 113-196.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irodalom:</w:t>
            </w:r>
          </w:p>
          <w:p>
            <w:pPr>
              <w:pStyle w:val="Normal"/>
              <w:widowControl w:val="false"/>
              <w:spacing w:lineRule="auto" w:line="240" w:before="0" w:after="0"/>
              <w:ind w:left="540" w:right="-4" w:hanging="5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Boros Gábor (szerk.): </w:t>
            </w:r>
            <w:r>
              <w:rPr>
                <w:i/>
                <w:iCs/>
                <w:color w:val="FF0000"/>
                <w:sz w:val="24"/>
                <w:szCs w:val="24"/>
              </w:rPr>
              <w:t xml:space="preserve">Filozófia. </w:t>
            </w:r>
            <w:r>
              <w:rPr>
                <w:color w:val="FF0000"/>
                <w:sz w:val="24"/>
                <w:szCs w:val="24"/>
              </w:rPr>
              <w:t>Budapest: Akadémia, 2007 (a tárgyalt szerzők).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Heller Ágnes: </w:t>
            </w:r>
            <w:r>
              <w:rPr>
                <w:i/>
                <w:sz w:val="24"/>
                <w:szCs w:val="24"/>
              </w:rPr>
              <w:t xml:space="preserve">Morálfilozófia. </w:t>
            </w:r>
            <w:r>
              <w:rPr>
                <w:sz w:val="24"/>
                <w:szCs w:val="24"/>
              </w:rPr>
              <w:t>Budapest: Cserépfalvi, 1996.</w:t>
            </w:r>
          </w:p>
          <w:p>
            <w:pPr>
              <w:pStyle w:val="Normal"/>
              <w:widowControl w:val="false"/>
              <w:spacing w:lineRule="auto" w:line="240" w:before="0" w:after="0"/>
              <w:ind w:left="540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Russ Shafer-Landau (ed.): </w:t>
            </w:r>
            <w:r>
              <w:rPr>
                <w:i/>
                <w:iCs/>
                <w:sz w:val="24"/>
                <w:szCs w:val="24"/>
              </w:rPr>
              <w:t xml:space="preserve">Ethical Theory. An Anthology. </w:t>
            </w:r>
            <w:r>
              <w:rPr>
                <w:sz w:val="24"/>
                <w:szCs w:val="24"/>
              </w:rPr>
              <w:t>Oxford: Wiley–Blackwell, 2013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120"/>
        <w:jc w:val="both"/>
        <w:textAlignment w:val="baseline"/>
        <w:rPr/>
      </w:pPr>
      <w:r>
        <w:rPr/>
      </w:r>
    </w:p>
    <w:sectPr>
      <w:headerReference w:type="default" r:id="rId4"/>
      <w:type w:val="nextPage"/>
      <w:pgSz w:w="11906" w:h="16838"/>
      <w:pgMar w:left="1134" w:right="1134" w:header="708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>Miskolci Egyetem bölcsészettudományi kar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Cmsor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5494"/>
    <w:pPr>
      <w:widowControl/>
      <w:suppressAutoHyphens w:val="true"/>
      <w:bidi w:val="0"/>
      <w:spacing w:lineRule="auto" w:line="276" w:before="0" w:after="120"/>
      <w:jc w:val="both"/>
      <w:textAlignment w:val="baseline"/>
    </w:pPr>
    <w:rPr>
      <w:rFonts w:ascii="Times New Roman" w:hAnsi="Times New Roman" w:eastAsia="Calibri" w:cs="Times New Roman"/>
      <w:color w:val="auto"/>
      <w:kern w:val="0"/>
      <w:sz w:val="22"/>
      <w:szCs w:val="22"/>
      <w:lang w:val="hu-HU" w:eastAsia="en-US" w:bidi="ar-SA"/>
    </w:rPr>
  </w:style>
  <w:style w:type="paragraph" w:styleId="Cmsor2">
    <w:name w:val="Heading 2"/>
    <w:basedOn w:val="Normal"/>
    <w:next w:val="Normal"/>
    <w:autoRedefine/>
    <w:qFormat/>
    <w:rsid w:val="00105494"/>
    <w:pPr>
      <w:keepNext w:val="true"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al"/>
    <w:next w:val="Normal"/>
    <w:autoRedefine/>
    <w:qFormat/>
    <w:rsid w:val="00105494"/>
    <w:pPr>
      <w:keepNext w:val="true"/>
      <w:keepLines/>
      <w:spacing w:before="240" w:after="120"/>
      <w:ind w:left="720" w:hanging="720"/>
      <w:outlineLvl w:val="2"/>
    </w:pPr>
    <w:rPr>
      <w:rFonts w:eastAsia="Times New Roman"/>
      <w:b/>
      <w:bCs/>
      <w:color w:val="1D3C57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msor2Char" w:customStyle="1">
    <w:name w:val="Címsor 2 Char"/>
    <w:basedOn w:val="DefaultParagraphFont"/>
    <w:qFormat/>
    <w:rsid w:val="00105494"/>
    <w:rPr>
      <w:rFonts w:ascii="Times New Roman" w:hAnsi="Times New Roman" w:eastAsia="Times New Roman" w:cs="Times New Roman"/>
      <w:b/>
      <w:bCs/>
      <w:iCs/>
      <w:sz w:val="24"/>
      <w:szCs w:val="28"/>
    </w:rPr>
  </w:style>
  <w:style w:type="character" w:styleId="Cmsor3Char" w:customStyle="1">
    <w:name w:val="Címsor 3 Char"/>
    <w:basedOn w:val="DefaultParagraphFont"/>
    <w:qFormat/>
    <w:rsid w:val="00105494"/>
    <w:rPr>
      <w:rFonts w:ascii="Times New Roman" w:hAnsi="Times New Roman" w:eastAsia="Times New Roman" w:cs="Times New Roman"/>
      <w:b/>
      <w:bCs/>
      <w:color w:val="1D3C57"/>
    </w:rPr>
  </w:style>
  <w:style w:type="character" w:styleId="LfejChar" w:customStyle="1">
    <w:name w:val="Élőfej Char"/>
    <w:basedOn w:val="DefaultParagraphFont"/>
    <w:qFormat/>
    <w:rsid w:val="00105494"/>
    <w:rPr>
      <w:rFonts w:ascii="Times New Roman" w:hAnsi="Times New Roman"/>
    </w:rPr>
  </w:style>
  <w:style w:type="character" w:styleId="LlbChar" w:customStyle="1">
    <w:name w:val="Élőláb Char"/>
    <w:basedOn w:val="DefaultParagraphFont"/>
    <w:qFormat/>
    <w:rsid w:val="00105494"/>
    <w:rPr>
      <w:rFonts w:ascii="Times New Roman" w:hAnsi="Times New Roman"/>
    </w:rPr>
  </w:style>
  <w:style w:type="character" w:styleId="LbjegyzetszvegChar" w:customStyle="1">
    <w:name w:val="Lábjegyzetszöveg Char"/>
    <w:basedOn w:val="DefaultParagraphFont"/>
    <w:link w:val="Lbjegyzetszveg"/>
    <w:semiHidden/>
    <w:qFormat/>
    <w:rsid w:val="00d230f3"/>
    <w:rPr>
      <w:rFonts w:ascii="Times New Roman" w:hAnsi="Times New Roman" w:eastAsia="Times New Roman"/>
      <w:sz w:val="20"/>
      <w:szCs w:val="20"/>
      <w:lang w:eastAsia="hu-HU"/>
    </w:rPr>
  </w:style>
  <w:style w:type="character" w:styleId="Lbjegyzethorgony">
    <w:name w:val="Lábjegyzet-horgony"/>
    <w:rPr>
      <w:vertAlign w:val="superscript"/>
    </w:rPr>
  </w:style>
  <w:style w:type="character" w:styleId="FootnoteCharacters">
    <w:name w:val="Footnote Characters"/>
    <w:semiHidden/>
    <w:unhideWhenUsed/>
    <w:qFormat/>
    <w:rsid w:val="00d230f3"/>
    <w:rPr>
      <w:vertAlign w:val="superscript"/>
    </w:rPr>
  </w:style>
  <w:style w:type="character" w:styleId="Internethivatkozs">
    <w:name w:val="Internet-hivatkozás"/>
    <w:rsid w:val="002d6aab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rsid w:val="001054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rsid w:val="001054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bjegyzet">
    <w:name w:val="Footnote Text"/>
    <w:basedOn w:val="Normal"/>
    <w:link w:val="LbjegyzetszvegChar"/>
    <w:semiHidden/>
    <w:unhideWhenUsed/>
    <w:rsid w:val="00d230f3"/>
    <w:pPr>
      <w:suppressAutoHyphens w:val="false"/>
      <w:spacing w:lineRule="auto" w:line="240" w:before="0" w:after="0"/>
      <w:jc w:val="left"/>
      <w:textAlignment w:val="auto"/>
    </w:pPr>
    <w:rPr>
      <w:rFonts w:eastAsia="Times New Roman"/>
      <w:sz w:val="20"/>
      <w:szCs w:val="20"/>
      <w:lang w:eastAsia="hu-HU"/>
    </w:rPr>
  </w:style>
  <w:style w:type="paragraph" w:styleId="Cf0agj" w:customStyle="1">
    <w:name w:val="cf0 agj"/>
    <w:basedOn w:val="Normal"/>
    <w:qFormat/>
    <w:rsid w:val="00e0746d"/>
    <w:pPr>
      <w:suppressAutoHyphens w:val="false"/>
      <w:spacing w:lineRule="atLeast" w:line="324" w:before="0" w:after="192"/>
      <w:jc w:val="left"/>
      <w:textAlignment w:val="auto"/>
    </w:pPr>
    <w:rPr>
      <w:rFonts w:ascii="Arial" w:hAnsi="Arial" w:eastAsia="Times New Roman" w:cs="Arial"/>
      <w:color w:val="474747"/>
      <w:lang w:eastAsia="hu-HU"/>
    </w:rPr>
  </w:style>
  <w:style w:type="paragraph" w:styleId="ListParagraph">
    <w:name w:val="List Paragraph"/>
    <w:basedOn w:val="Normal"/>
    <w:uiPriority w:val="34"/>
    <w:qFormat/>
    <w:rsid w:val="00403bc1"/>
    <w:pPr>
      <w:spacing w:before="0" w:after="12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OutlineListStyle" w:customStyle="1">
    <w:name w:val="WW_OutlineListStyle"/>
    <w:qFormat/>
    <w:rsid w:val="00105494"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d230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12.es/" TargetMode="External"/><Relationship Id="rId3" Type="http://schemas.openxmlformats.org/officeDocument/2006/relationships/hyperlink" Target="http://filozofia.uni-miskolc.hu/hallgatok/oktatasi-anyagok/dr-nyiro-miklos-anyagai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7DEC5-C965-4A8B-928D-ACDC6CAF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LibreOffice/7.1.3.2$Windows_X86_64 LibreOffice_project/47f78053abe362b9384784d31a6e56f8511eb1c1</Application>
  <AppVersion>15.0000</AppVersion>
  <Pages>2</Pages>
  <Words>676</Words>
  <Characters>5157</Characters>
  <CharactersWithSpaces>5826</CharactersWithSpaces>
  <Paragraphs>53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2018-06-01T09:56:00Z</dcterms:created>
  <dc:creator>xi</dc:creator>
  <dc:description/>
  <dc:language>hu-HU</dc:language>
  <cp:lastModifiedBy/>
  <dcterms:modified xsi:type="dcterms:W3CDTF">2023-09-19T18:34:19Z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