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82"/>
      </w:tblGrid>
      <w:tr>
        <w:trPr/>
        <w:tc>
          <w:tcPr>
            <w:tcW w:w="46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Tantárgy neve: </w:t>
            </w:r>
            <w:r>
              <w:rPr>
                <w:b w:val="false"/>
                <w:bCs w:val="false"/>
              </w:rPr>
              <w:t>Bevezetés a filozófiába</w:t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(A BTK összes első éves BA-s hallgatójának, intézetenként eltérő címekkel és kódokkal.)</w:t>
            </w:r>
          </w:p>
        </w:tc>
        <w:tc>
          <w:tcPr>
            <w:tcW w:w="46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Tantárgy Neptun kódja: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Tantárgyfelelős intézet: Antropológiai és Filozófiai Tudományok Intézete (Filozófiai tanszék)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Tantárgyelem: kötelező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Tárgyfelelős (név, beosztás): dr. Nyírő Miklós, egy. docens</w:t>
            </w:r>
          </w:p>
        </w:tc>
      </w:tr>
      <w:tr>
        <w:trPr/>
        <w:tc>
          <w:tcPr>
            <w:tcW w:w="460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Javasolt félév: I / 1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Előfeltétel: </w:t>
              <w:softHyphen/>
              <w:t>--</w:t>
            </w:r>
          </w:p>
        </w:tc>
      </w:tr>
      <w:tr>
        <w:trPr/>
        <w:tc>
          <w:tcPr>
            <w:tcW w:w="460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Óraszám/hét: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Számonkérés módja: aláírás és kollokvium</w:t>
            </w:r>
          </w:p>
        </w:tc>
      </w:tr>
      <w:tr>
        <w:trPr/>
        <w:tc>
          <w:tcPr>
            <w:tcW w:w="460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Kreditpont:</w:t>
            </w:r>
          </w:p>
        </w:tc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Tagozat: nappali / </w:t>
            </w:r>
            <w:r>
              <w:rPr>
                <w:shd w:fill="auto" w:val="clear"/>
              </w:rPr>
              <w:t>levelező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Tantárgy feladata és célja: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A kurzus az európai filozófia történetének utóbbi mintegy 300 évét tekinti át. A racionalizmus és az empirizmus jellemzésével kezdünk, majd Kant kopernikuszi fordulatára, s a német idealizmusra, illetve a főbb 19. századi fejleményekre összpontosítunk majd, hogy ezekhez kapcsolódóan végül kitekintést nyújtsunk a huszadik század ún. „kontinentális” filozófiájának főbb irányzataira.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Tantárgy tematikus leírása:</w:t>
            </w:r>
          </w:p>
          <w:p>
            <w:pPr>
              <w:pStyle w:val="Normal"/>
              <w:widowControl w:val="false"/>
              <w:ind w:right="252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ind w:right="252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Habermas szerint a Hegel idealista rendszerére adott jobb- és baloldali ifjú-hegeliánus válaszok kijelölik azokat a kereteket, amelyek még korunk gondolkodását is alapvetően meghatározzák. A 19. századi (elsősorban német) gondolkodás története több tekintetben is a német idealizmusra adott válaszreakciók sorának tekinthető. Másfelől, a huszadik századi kontinentális gondolkodás ismét csak több tekintetben a 19. századi fejleményekből táplálkozik. A kurzus – az előzményeket megvilágítva – az ún. klasszikus német filozófia (Kant és a német idealisták) fő alakjai munkásságának áttekintéséből kiindulva tárgyalja ezeknek a válaszreakcióknak a sajátosságait, a fő problematikákat és válaszkísérleteket, a hatástörténeti összefüggéseket. Végül az így nyert áttekintésre alapozva a 20. századi európai filozófiai gondolkodás azon fő irányzataira tekintünk ki, amelyek a 19. századi előzményekben gyökereznek.</w:t>
            </w:r>
          </w:p>
          <w:p>
            <w:pPr>
              <w:pStyle w:val="Normal"/>
              <w:widowControl w:val="false"/>
              <w:ind w:right="252" w:hanging="0"/>
              <w:jc w:val="both"/>
              <w:rPr>
                <w:color w:val="222222"/>
              </w:rPr>
            </w:pPr>
            <w:r>
              <w:rPr>
                <w:color w:val="222222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Ütemezés:</w:t>
            </w:r>
          </w:p>
          <w:p>
            <w:pPr>
              <w:pStyle w:val="Normal"/>
              <w:widowControl w:val="false"/>
              <w:rPr>
                <w:rFonts w:eastAsia="Calibri"/>
                <w:color w:val="FF0000"/>
                <w:lang w:eastAsia="en-US"/>
              </w:rPr>
            </w:pPr>
            <w:r>
              <w:rPr>
                <w:rFonts w:eastAsia="Calibri"/>
                <w:color w:val="FF0000"/>
                <w:lang w:eastAsia="en-US"/>
              </w:rPr>
            </w:r>
          </w:p>
          <w:p>
            <w:pPr>
              <w:pStyle w:val="Normal"/>
              <w:widowControl w:val="false"/>
              <w:ind w:left="540" w:hanging="540"/>
              <w:rPr/>
            </w:pPr>
            <w:r>
              <w:rPr/>
              <w:t>1. Bevezetés: történeti áttekintés − főbb irányzatok és képviselőik, összefüggések.</w:t>
            </w:r>
          </w:p>
          <w:p>
            <w:pPr>
              <w:pStyle w:val="Normal"/>
              <w:widowControl w:val="false"/>
              <w:ind w:left="540" w:hanging="540"/>
              <w:rPr/>
            </w:pPr>
            <w:r>
              <w:rPr/>
              <w:t>2. Descartes racionalizmusa &amp; Locke empirizmusa.</w:t>
            </w:r>
          </w:p>
          <w:p>
            <w:pPr>
              <w:pStyle w:val="Normal"/>
              <w:widowControl w:val="false"/>
              <w:ind w:left="540" w:hanging="540"/>
              <w:rPr/>
            </w:pPr>
            <w:r>
              <w:rPr/>
              <w:t>3-4. Kant transzcendentális fordulata.</w:t>
            </w:r>
          </w:p>
          <w:p>
            <w:pPr>
              <w:pStyle w:val="Normal"/>
              <w:widowControl w:val="false"/>
              <w:ind w:left="540" w:hanging="54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>
              <w:rPr>
                <w:b/>
                <w:bCs/>
              </w:rPr>
              <w:t xml:space="preserve">Első ZH. </w:t>
            </w:r>
            <w:r>
              <w:rPr>
                <w:b w:val="false"/>
                <w:bCs w:val="false"/>
              </w:rPr>
              <w:t>– Német idealizmus I.: Fichte.</w:t>
            </w:r>
          </w:p>
          <w:p>
            <w:pPr>
              <w:pStyle w:val="Normal"/>
              <w:widowControl w:val="false"/>
              <w:ind w:left="540" w:hanging="540"/>
              <w:rPr/>
            </w:pPr>
            <w:r>
              <w:rPr/>
              <w:t xml:space="preserve">6. </w:t>
            </w:r>
            <w:r>
              <w:rPr/>
              <w:t>Német idealizmus II.:</w:t>
            </w:r>
            <w:r>
              <w:rPr/>
              <w:t xml:space="preserve"> Hegel.</w:t>
            </w:r>
          </w:p>
          <w:p>
            <w:pPr>
              <w:pStyle w:val="Normal"/>
              <w:widowControl w:val="false"/>
              <w:ind w:left="540" w:hanging="540"/>
              <w:rPr/>
            </w:pPr>
            <w:r>
              <w:rPr/>
              <w:t>7. Kierkegaard egzisztencializmusa.</w:t>
            </w:r>
          </w:p>
          <w:p>
            <w:pPr>
              <w:pStyle w:val="BodyText2"/>
              <w:widowControl w:val="false"/>
              <w:spacing w:lineRule="auto" w:line="240" w:before="0" w:after="0"/>
              <w:ind w:left="540" w:hanging="540"/>
              <w:rPr/>
            </w:pPr>
            <w:r>
              <w:rPr/>
              <w:t>8. Feuerbach és Marx.</w:t>
            </w:r>
          </w:p>
          <w:p>
            <w:pPr>
              <w:pStyle w:val="BodyText2"/>
              <w:widowControl w:val="false"/>
              <w:spacing w:lineRule="auto" w:line="240" w:before="0" w:after="0"/>
              <w:ind w:left="540" w:hanging="54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9. </w:t>
            </w:r>
            <w:r>
              <w:rPr>
                <w:b/>
                <w:bCs/>
              </w:rPr>
              <w:t xml:space="preserve">Második ZH. </w:t>
            </w:r>
            <w:r>
              <w:rPr>
                <w:b w:val="false"/>
                <w:bCs w:val="false"/>
              </w:rPr>
              <w:t>–  Schopenhauer.</w:t>
            </w:r>
          </w:p>
          <w:p>
            <w:pPr>
              <w:pStyle w:val="BodyText2"/>
              <w:widowControl w:val="false"/>
              <w:spacing w:lineRule="auto" w:line="240" w:before="0" w:after="0"/>
              <w:ind w:left="540" w:hanging="540"/>
              <w:rPr/>
            </w:pPr>
            <w:r>
              <w:rPr/>
              <w:t>10-</w:t>
            </w:r>
            <w:r>
              <w:rPr/>
              <w:t>11</w:t>
            </w:r>
            <w:r>
              <w:rPr/>
              <w:t>. Nietzsche.</w:t>
            </w:r>
          </w:p>
          <w:p>
            <w:pPr>
              <w:pStyle w:val="Normal"/>
              <w:widowControl w:val="false"/>
              <w:ind w:left="540" w:hanging="540"/>
              <w:rPr/>
            </w:pPr>
            <w:r>
              <w:rPr/>
              <w:t>1</w:t>
            </w:r>
            <w:r>
              <w:rPr/>
              <w:t>2</w:t>
            </w:r>
            <w:r>
              <w:rPr/>
              <w:t>. Neokantianizmus és Dilthey: a szellemtudományok problémája.</w:t>
            </w:r>
          </w:p>
          <w:p>
            <w:pPr>
              <w:pStyle w:val="Normal"/>
              <w:widowControl w:val="false"/>
              <w:ind w:left="540" w:hanging="540"/>
              <w:rPr/>
            </w:pPr>
            <w:r>
              <w:rPr/>
              <w:t>1</w:t>
            </w:r>
            <w:r>
              <w:rPr/>
              <w:t>3</w:t>
            </w:r>
            <w:r>
              <w:rPr/>
              <w:t>-14. Kitekintés a 20. századi irányzatokra: 1) fenomenológia (Husserl); fenomenológiai és filozófiai hermeneutika (Heidegger és Gadamer); 2) egzisztencializmus (Jaspers és Sartre); 3) marxizmus (Lukács, Sartre, a Frankfurti iskola); 4) dekonstrukció (Derrida).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b w:val="false"/>
                <w:b w:val="false"/>
                <w:bCs w:val="false"/>
                <w:color w:val="000000"/>
                <w:shd w:fill="auto" w:val="clear"/>
              </w:rPr>
            </w:pPr>
            <w:r>
              <w:rPr>
                <w:rFonts w:eastAsia="Calibri"/>
                <w:b/>
                <w:bCs/>
                <w:color w:val="000000"/>
                <w:shd w:fill="auto" w:val="clear"/>
                <w:lang w:eastAsia="en-US"/>
              </w:rPr>
              <w:t>A</w:t>
            </w:r>
            <w:r>
              <w:rPr>
                <w:b/>
                <w:bCs/>
                <w:color w:val="000000"/>
                <w:shd w:fill="auto" w:val="clear"/>
              </w:rPr>
              <w:t>z aláírás feltétele:</w:t>
            </w:r>
            <w:r>
              <w:rPr>
                <w:b w:val="false"/>
                <w:bCs w:val="false"/>
                <w:color w:val="000000"/>
                <w:shd w:fill="auto" w:val="clear"/>
              </w:rPr>
              <w:t xml:space="preserve"> </w:t>
            </w:r>
            <w:r>
              <w:rPr>
                <w:b/>
                <w:bCs/>
                <w:color w:val="000000"/>
                <w:shd w:fill="auto" w:val="clear"/>
              </w:rPr>
              <w:t xml:space="preserve">min. 75%-os jelenlét az előadásokon; 2 sikeres ZH; </w:t>
            </w:r>
            <w:r>
              <w:rPr>
                <w:b/>
                <w:bCs/>
                <w:color w:val="000000"/>
                <w:shd w:fill="auto" w:val="clear"/>
              </w:rPr>
              <w:t>1 db. házi-esszé</w:t>
            </w:r>
          </w:p>
          <w:p>
            <w:pPr>
              <w:pStyle w:val="Normal"/>
              <w:widowControl w:val="false"/>
              <w:ind w:left="540" w:hanging="540"/>
              <w:jc w:val="both"/>
              <w:rPr/>
            </w:pPr>
            <w:r>
              <w:rPr>
                <w:u w:val="single"/>
              </w:rPr>
              <w:t>A házi-esszé:</w:t>
            </w:r>
            <w:r>
              <w:rPr/>
              <w:t xml:space="preserve"> valamelyik választott kötelező szakirodalom gondolatmenetének rekonstrukciója – a vezérkérdés, ill. az alkérdések azonosítása, az azokra adott válaszok vázolása, a gondolatmenet felépítésének megvilágítása; terjedelem és formátum: 5 oldal, Times New Roman, 12-es betűméret (cím, stb. is!), másfeles sorköz, folytonos (sorkihagyás nélküli) bekezdések.</w:t>
            </w:r>
          </w:p>
          <w:p>
            <w:pPr>
              <w:pStyle w:val="Normal"/>
              <w:widowControl w:val="false"/>
              <w:ind w:left="540" w:hanging="540"/>
              <w:jc w:val="both"/>
              <w:rPr/>
            </w:pPr>
            <w:r>
              <w:rPr/>
              <w:t xml:space="preserve">beadási határideje: </w:t>
            </w:r>
            <w:r>
              <w:rPr>
                <w:shd w:fill="auto" w:val="clear"/>
              </w:rPr>
              <w:t>2024. december 15, 24 óra.</w:t>
            </w:r>
          </w:p>
          <w:p>
            <w:pPr>
              <w:pStyle w:val="Normal"/>
              <w:widowControl w:val="false"/>
              <w:ind w:left="540" w:hanging="540"/>
              <w:jc w:val="both"/>
              <w:rPr/>
            </w:pPr>
            <w:r>
              <w:rPr/>
              <w:t xml:space="preserve">beadás módja: e-mailhez csatolva (e-mail-cím: </w:t>
            </w:r>
            <w:hyperlink r:id="rId2">
              <w:r>
                <w:rPr>
                  <w:rStyle w:val="Internethivatkozs"/>
                </w:rPr>
                <w:t>miklosnyiro2011@gmail.com</w:t>
              </w:r>
            </w:hyperlink>
            <w:r>
              <w:rPr/>
              <w:t>).</w:t>
            </w:r>
          </w:p>
          <w:p>
            <w:pPr>
              <w:pStyle w:val="Normal"/>
              <w:widowControl w:val="false"/>
              <w:ind w:left="540" w:hanging="54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Számonkérés módja</w:t>
            </w:r>
            <w:r>
              <w:rPr>
                <w:rFonts w:eastAsia="Calibri"/>
                <w:color w:val="000000"/>
                <w:lang w:eastAsia="en-US"/>
              </w:rPr>
              <w:t>: írásbeli kollokvium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A kollokviumi jegybe 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>
              <w:rPr>
                <w:rFonts w:eastAsia="Calibri"/>
                <w:color w:val="000000"/>
                <w:lang w:eastAsia="en-US"/>
              </w:rPr>
              <w:t xml:space="preserve">0%-os súllyal beleszámít a </w:t>
            </w:r>
            <w:r>
              <w:rPr>
                <w:rFonts w:eastAsia="Calibri"/>
                <w:color w:val="000000"/>
                <w:lang w:eastAsia="en-US"/>
              </w:rPr>
              <w:t>2 db ZH-ra és</w:t>
            </w:r>
            <w:r>
              <w:rPr>
                <w:rFonts w:eastAsia="Calibri"/>
                <w:color w:val="000000"/>
                <w:shd w:fill="auto" w:val="clear"/>
                <w:lang w:eastAsia="en-US"/>
              </w:rPr>
              <w:t xml:space="preserve"> a </w:t>
            </w:r>
            <w:r>
              <w:rPr>
                <w:rFonts w:eastAsia="Calibri"/>
                <w:color w:val="000000"/>
                <w:shd w:fill="auto" w:val="clear"/>
                <w:lang w:eastAsia="en-US"/>
              </w:rPr>
              <w:t xml:space="preserve">házi-esszére kapott </w:t>
            </w:r>
            <w:r>
              <w:rPr>
                <w:rFonts w:eastAsia="Calibri"/>
                <w:color w:val="000000"/>
                <w:lang w:eastAsia="en-US"/>
              </w:rPr>
              <w:t>érdemjegy</w:t>
            </w:r>
            <w:r>
              <w:rPr>
                <w:rFonts w:eastAsia="Calibri"/>
                <w:color w:val="000000"/>
                <w:lang w:eastAsia="en-US"/>
              </w:rPr>
              <w:t>ek átlaga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A kollokvium két részből áll (a tárgyalt szerzők egy-egy tételt képeznek):</w:t>
            </w:r>
          </w:p>
          <w:p>
            <w:pPr>
              <w:pStyle w:val="Normal"/>
              <w:widowControl w:val="false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1) a tételben szereplő szerző filozófiájának (célkitűzéseinek, fő kérdéseinek és válaszainak) az általános bemutatása – az előadások anyaga, valamint a kötelező másodlagos irodalom (Boros) alapján.</w:t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2) a szerzőhöz rendelt kötelező irodalom gondolatmenetének ismertetése.</w:t>
            </w:r>
          </w:p>
          <w:p>
            <w:pPr>
              <w:pStyle w:val="Normal"/>
              <w:widowControl w:val="false"/>
              <w:rPr>
                <w:i/>
                <w:i/>
                <w:color w:val="000000"/>
              </w:rPr>
            </w:pPr>
            <w:r>
              <w:rPr>
                <w:i/>
                <w:color w:val="000000"/>
              </w:rPr>
              <w:t>Ajánlatos először a másodlagos irodalmat és az előadások anyagát jól feldolgozni, majd ezek ismeretében olvasni a vonatkozó elsődleges irodalmat!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FF0000"/>
              </w:rPr>
            </w:pPr>
            <w:r>
              <w:rPr>
                <w:b/>
              </w:rPr>
              <w:t xml:space="preserve">Kötelező irodalom (többsége) itt: </w:t>
            </w:r>
            <w:hyperlink r:id="rId3">
              <w:r>
                <w:rPr>
                  <w:rStyle w:val="Internethivatkozs"/>
                  <w:b/>
                </w:rPr>
                <w:t>http://filozofia.uni-miskolc.hu/hallgatok/oktatasi-anyagok/dr-nyiro-miklos-anyagai/</w:t>
              </w:r>
            </w:hyperlink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Másodlagos: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Boros Gábor (szerk.): </w:t>
            </w:r>
            <w:r>
              <w:rPr>
                <w:i/>
                <w:iCs/>
                <w:color w:val="000000"/>
              </w:rPr>
              <w:t xml:space="preserve">Filozófia. </w:t>
            </w:r>
            <w:r>
              <w:rPr>
                <w:color w:val="000000"/>
              </w:rPr>
              <w:t>Akadémia, Budapest, 2007. (Szerzők szerinti bontásban):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680" w:right="0" w:hanging="680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680" w:right="0" w:hanging="68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Elsődleges: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680" w:right="0" w:hanging="68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Descartes, René: </w:t>
            </w:r>
            <w:r>
              <w:rPr>
                <w:i/>
                <w:iCs/>
                <w:color w:val="000000"/>
              </w:rPr>
              <w:t xml:space="preserve">Elmélkedések az első filozófiáról. </w:t>
            </w:r>
            <w:r>
              <w:rPr>
                <w:color w:val="000000"/>
              </w:rPr>
              <w:t>Ford. Boros Gábor. Budapest: Atlantisz, 1994. I-II meditáció.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59" w:before="0" w:after="0"/>
              <w:ind w:left="680" w:right="0" w:hanging="68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Locke, John: </w:t>
            </w:r>
            <w:r>
              <w:rPr>
                <w:i/>
                <w:iCs/>
                <w:color w:val="000000"/>
              </w:rPr>
              <w:t xml:space="preserve">Értekezés az emberi értelemről. </w:t>
            </w:r>
            <w:r>
              <w:rPr>
                <w:color w:val="000000"/>
              </w:rPr>
              <w:t>Ford. Dienes Valéria. Budapest: Akadémiai Kiadó, 1979; 2. kiad. Budapest: Osiris, 2003. [1. Az innatizmus bírálata. – I. könyv, 1. fejezet (I. 28-47); 2. Ideaelmélet. – II. könyv, 1-2. fejezet (91-110); 3. Elsődleges és másodlagos tulajdonságok. – II. könyv, 8. fejezet (121-132)].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Kant, Immanuel: Levél Herzhez, in. uő: </w:t>
            </w:r>
            <w:r>
              <w:rPr>
                <w:i/>
                <w:color w:val="000000"/>
              </w:rPr>
              <w:t>A vallás a puszta ész ...</w:t>
            </w:r>
            <w:r>
              <w:rPr>
                <w:color w:val="000000"/>
              </w:rPr>
              <w:t>, Budapest: Gondolat, 198</w:t>
            </w:r>
            <w:r>
              <w:rPr>
                <w:rFonts w:eastAsia="Symbol" w:cs="Symbol" w:ascii="Symbol" w:hAnsi="Symbol"/>
                <w:color w:val="000000"/>
              </w:rPr>
              <w:t></w:t>
            </w:r>
            <w:r>
              <w:rPr>
                <w:color w:val="000000"/>
              </w:rPr>
              <w:t>, 5</w:t>
            </w:r>
            <w:r>
              <w:rPr>
                <w:rFonts w:eastAsia="Symbol" w:cs="Symbol" w:ascii="Symbol" w:hAnsi="Symbol"/>
                <w:color w:val="000000"/>
              </w:rPr>
              <w:t></w:t>
            </w:r>
            <w:r>
              <w:rPr>
                <w:color w:val="000000"/>
              </w:rPr>
              <w:t>-58.</w:t>
            </w:r>
          </w:p>
          <w:p>
            <w:pPr>
              <w:pStyle w:val="Normal"/>
              <w:widowControl w:val="false"/>
              <w:ind w:right="252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―</w:t>
            </w:r>
            <w:r>
              <w:rPr>
                <w:color w:val="000000"/>
              </w:rPr>
              <w:t xml:space="preserve">: Bevezetés, in. uő: </w:t>
            </w:r>
            <w:r>
              <w:rPr>
                <w:i/>
                <w:color w:val="000000"/>
              </w:rPr>
              <w:t xml:space="preserve">A tiszta ész kritikája, </w:t>
            </w:r>
            <w:r>
              <w:rPr>
                <w:color w:val="000000"/>
              </w:rPr>
              <w:t>Szeged: Ictus, 1995, 51-75.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Fichte, J. G.: Első bevezetés a tudománytanba, in. uő: </w:t>
            </w:r>
            <w:r>
              <w:rPr>
                <w:i/>
                <w:iCs/>
                <w:color w:val="000000"/>
              </w:rPr>
              <w:t xml:space="preserve">Válogatott filozófiai írások, </w:t>
            </w:r>
            <w:r>
              <w:rPr>
                <w:color w:val="000000"/>
              </w:rPr>
              <w:t>Budapest: Gondolat, 1981, 17-52.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Hegel, G. W. F: Előszó, Bevezetés, in. uő: </w:t>
            </w:r>
            <w:r>
              <w:rPr>
                <w:i/>
                <w:color w:val="000000"/>
              </w:rPr>
              <w:t>A szellem fenomenológiája</w:t>
            </w:r>
            <w:r>
              <w:rPr>
                <w:color w:val="000000"/>
              </w:rPr>
              <w:t>, Budapest: Akadémiai, 1979, 9-56.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Kierkegaard, Søren: Az esztétikai és az etikai közötti egyensúly a személyiség kimunkálásában, in. uő: </w:t>
            </w:r>
            <w:r>
              <w:rPr>
                <w:i/>
                <w:color w:val="000000"/>
                <w:shd w:fill="auto" w:val="clear"/>
              </w:rPr>
              <w:t xml:space="preserve">Vagy-vagy, </w:t>
            </w:r>
            <w:r>
              <w:rPr>
                <w:color w:val="000000"/>
                <w:shd w:fill="auto" w:val="clear"/>
              </w:rPr>
              <w:t>Budapest: Osiris, 2001, 467-6</w:t>
            </w:r>
            <w:r>
              <w:rPr>
                <w:rFonts w:eastAsia="Symbol" w:cs="Symbol" w:ascii="Symbol" w:hAnsi="Symbol"/>
                <w:color w:val="000000"/>
                <w:shd w:fill="auto" w:val="clear"/>
              </w:rPr>
              <w:t></w:t>
            </w:r>
            <w:r>
              <w:rPr>
                <w:color w:val="000000"/>
                <w:shd w:fill="auto" w:val="clear"/>
              </w:rPr>
              <w:t>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Marx, Karl.: </w:t>
            </w:r>
            <w:r>
              <w:rPr>
                <w:i/>
                <w:iCs/>
                <w:color w:val="000000"/>
                <w:shd w:fill="auto" w:val="clear"/>
              </w:rPr>
              <w:t xml:space="preserve">Gazdasági-filozófiai kéziratok, </w:t>
            </w:r>
            <w:r>
              <w:rPr>
                <w:color w:val="000000"/>
                <w:shd w:fill="auto" w:val="clear"/>
              </w:rPr>
              <w:t>Budapest: Kossuth, 1962, 55-74 (I. fejezet).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7455" w:leader="none"/>
                <w:tab w:val="left" w:pos="8820" w:leader="none"/>
              </w:tabs>
              <w:ind w:left="540" w:right="252" w:hanging="540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 xml:space="preserve">Nietzsche, Friedrich: </w:t>
            </w:r>
            <w:r>
              <w:rPr>
                <w:i/>
                <w:color w:val="000000"/>
                <w:sz w:val="24"/>
                <w:szCs w:val="24"/>
                <w:shd w:fill="auto" w:val="clear"/>
              </w:rPr>
              <w:t xml:space="preserve">A történelem hasznáról és káráról az élet számára. </w:t>
            </w:r>
            <w:r>
              <w:rPr>
                <w:color w:val="000000"/>
                <w:sz w:val="24"/>
                <w:szCs w:val="24"/>
                <w:shd w:fill="auto" w:val="clear"/>
              </w:rPr>
              <w:t>Budapest: Akadémia, 1995</w:t>
            </w:r>
            <w:r>
              <w:rPr>
                <w:color w:val="000000"/>
                <w:sz w:val="24"/>
                <w:szCs w:val="24"/>
                <w:shd w:fill="auto" w:val="clear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20" w:leader="none"/>
              </w:tabs>
              <w:ind w:left="540" w:right="252" w:hanging="540"/>
              <w:jc w:val="both"/>
              <w:rPr>
                <w:color w:val="000000"/>
              </w:rPr>
            </w:pPr>
            <w:r>
              <w:rPr>
                <w:color w:val="000000"/>
                <w:shd w:fill="auto" w:val="clear"/>
              </w:rPr>
              <w:t>Dilthey, Wilhelm: Bevezetés a szellemtudományokba; A hermeneutika keletkezése,</w:t>
            </w:r>
            <w:r>
              <w:rPr>
                <w:color w:val="000000"/>
              </w:rPr>
              <w:t xml:space="preserve"> mindkettő in: uő.: </w:t>
            </w:r>
            <w:r>
              <w:rPr>
                <w:i/>
                <w:color w:val="000000"/>
              </w:rPr>
              <w:t xml:space="preserve">A történelmi világ felépítése a szellemtudományokban. </w:t>
            </w:r>
            <w:r>
              <w:rPr>
                <w:color w:val="000000"/>
              </w:rPr>
              <w:t>Budapest: Gondolat, 1974, 61-101.</w:t>
            </w:r>
            <w:r>
              <w:rPr>
                <w:rFonts w:eastAsia="Symbol" w:cs="Symbol" w:ascii="Symbol" w:hAnsi="Symbol"/>
                <w:color w:val="000000"/>
              </w:rPr>
              <w:t></w:t>
            </w:r>
            <w:r>
              <w:rPr>
                <w:color w:val="000000"/>
              </w:rPr>
              <w:t xml:space="preserve"> 469-493.</w:t>
            </w:r>
          </w:p>
        </w:tc>
      </w:tr>
      <w:tr>
        <w:trPr/>
        <w:tc>
          <w:tcPr>
            <w:tcW w:w="928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color w:val="FF0000"/>
              </w:rPr>
            </w:pPr>
            <w:r>
              <w:rPr>
                <w:b/>
              </w:rPr>
              <w:t>Ajánlott irodalom:</w:t>
            </w:r>
          </w:p>
          <w:p>
            <w:pPr>
              <w:pStyle w:val="Normal"/>
              <w:widowControl w:val="false"/>
              <w:ind w:right="252" w:hanging="0"/>
              <w:rPr/>
            </w:pPr>
            <w:r>
              <w:rPr/>
              <w:t xml:space="preserve">Russell, Bertrand: </w:t>
            </w:r>
            <w:r>
              <w:rPr>
                <w:i/>
              </w:rPr>
              <w:t>A nyugati filozófia története</w:t>
            </w:r>
            <w:r>
              <w:rPr/>
              <w:t>, Göncöl, Budapest, 1997.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3f4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zvegtrzs2Char" w:customStyle="1">
    <w:name w:val="Szövegtörzs 2 Char"/>
    <w:basedOn w:val="DefaultParagraphFont"/>
    <w:link w:val="Szvegtrzs2"/>
    <w:qFormat/>
    <w:rsid w:val="00a13f44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Internet-hivatkozás"/>
    <w:basedOn w:val="DefaultParagraphFont"/>
    <w:uiPriority w:val="99"/>
    <w:unhideWhenUsed/>
    <w:rsid w:val="00850b2c"/>
    <w:rPr>
      <w:color w:val="0000FF" w:themeColor="hyperlink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Szvegtrzs2Char"/>
    <w:qFormat/>
    <w:rsid w:val="00a13f44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34"/>
    <w:qFormat/>
    <w:rsid w:val="00850b2c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klosnyiro2011@gmail.com" TargetMode="External"/><Relationship Id="rId3" Type="http://schemas.openxmlformats.org/officeDocument/2006/relationships/hyperlink" Target="http://filozofia.uni-miskolc.hu/hallgatok/oktatasi-anyagok/dr-nyiro-miklos-anyaga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Application>LibreOffice/7.1.3.2$Windows_X86_64 LibreOffice_project/47f78053abe362b9384784d31a6e56f8511eb1c1</Application>
  <AppVersion>15.0000</AppVersion>
  <Pages>2</Pages>
  <Words>678</Words>
  <Characters>4724</Characters>
  <CharactersWithSpaces>5350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2020-03-15T11:03:00Z</dcterms:created>
  <dc:creator>Miklós</dc:creator>
  <dc:description/>
  <dc:language>hu-HU</dc:language>
  <cp:lastModifiedBy/>
  <cp:lastPrinted>2024-09-08T19:00:34Z</cp:lastPrinted>
  <dcterms:modified xsi:type="dcterms:W3CDTF">2024-09-15T14:55:54Z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